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NeVo Tower SFE Model: Pros &amp; Cons (Comprehensive Integration - HIGHLIGHTED CHANGES) and Introduction to the New Project Model: "Partners Not Paychecks"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analysis of two pivotal strategic initiatives: "The NeVo Tower" SFE Model and the "Partners Not Paychecks" human capital initiative. The primary objective is to delineate the operational advantages and disadvantages of "The NeVo Tower" SFE Model, while critically assessing the legal and regulatory implications of "Partners Not Paychecks," particularly its potential classification as an investment contract. A thorough legal assessment of "Partners Not Paychecks" is of paramount importance, as such a classification would trigger significant regulatory obligations under securities law. The report emphasizes the necessity of a cohesive and legally compliant integration strategy to maximize the synergistic potential between these two models and to mitigate inherent risks. Recommendations herein focus on rigorous legal due diligence and a carefully phased implementation approach to ensure the long-term viability and success of both initiatives.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the "Partners Not Paychecks" Model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"Partners Not Paychecks" model represents a fundamental shift in organizational engagement, moving away from traditional employment or contractor relationships towards a more integrated, stake-based collaboration. This section introduces the foundational concept and strategic intent behind this innovative model, setting the stage for a detailed legal and operational analysis.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Core Concept and Objectives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premise of "Partners Not Paychecks" involves individuals contributing valuable resources to the venture, not in exchange for fixed salaries or hourly wages, but for a direct stake in the enterprise's success. This could manifest through various mechanisms, such as profit-sharing arrangements, direct equity participation, or unique co-ownership structures. The resources contributed can be diverse, encompassing financial capital, intellectual property, specialized labor, or dedicated time.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rationale underpinning this model is multifaceted. It is designed to foster a significantly greater alignment of interests between the organization and its contributors, transforming them from mere employees into vested stakeholders. This alignment is anticipated to enhance commitment, motivation, and accountability, as participants' financial success becomes directly tied to the venture's performance. Furthermore, the model aims to attract highly specialized talent without incurring the high fixed costs associated with traditional employment, enabling shared risk-taking and potentially unlocking new revenue streams or operational efficiencies through collective effort and shared ownership. The desired long-term impact includes fostering increased innovation, improving key performance metrics, and cultivating a more resilient, collaborative, and entrepreneurial organizational culture.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Structural Overview</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"Partners Not Paychecks" model can adopt various legal and operational frameworks, each with distinct implications. Potential structures include formal legal partnerships where participants are co-owners with shared liabilities and profits, joint ventures for specific project-based collaborations, or co-operative models where members collectively own and control the enterprise. Alternatively, it could be structured through revenue or profit-sharing agreements that are purely contractual without formal ownership, or even through token-based or blockchain-enabled models where participation and rewards are managed via digital assets.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Defining the roles and contributions of participants is crucial. This involves specifying whether individuals contribute financial capital, intellectual property, specialized skills, or "sweat equity" (labor provided in exchange for equity). Equally important is outlining the governance and decision-making processes within this model. The degree to which participants are involved in strategic and operational decisions is a critical factor, particularly for subsequent legal analysis, as it can significantly influence whether the arrangement is perceived as a passive investment or an active partnership.</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Analysis of "The NeVo Tower" SFE Model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NeVo Tower" SFE Model is presented as a multi-tiered or integrated system designed to optimize a specific business function. While "SFE" could denote "Sales Force Enablement," "Strategic Financial Engineering," or "Systematic Functional Enhancement," the "Tower" metaphor suggests a comprehensive, perhaps hierarchical, system aimed at elevating performance within a defined operational domain, such as sales, overall operations, or financial performance.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Model Overview and Purpose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presumed goals of implementing "The NeVo Tower" SFE Model are centered on enhancing operational efficiency, streamlining complex processes, and leveraging advanced data analytics to drive more informed strategic choices. The model is likely designed to automate routine tasks, optimize workflows, and provide actionable insights that lead to improved performance metrics within its designated functional area. Its strategic objective is to create a robust framework that supports scalable growth and provides a competitive advantage through superior operational capabilities.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Pros and Cons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"The NeVo Tower" SFE Model presents a distinct set of advantages and disadvantages that warrant careful consideration.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Efficiency:</w:t>
      </w:r>
      <w:r w:rsidDel="00000000" w:rsidR="00000000" w:rsidRPr="00000000">
        <w:rPr>
          <w:rFonts w:ascii="Google Sans Text" w:cs="Google Sans Text" w:eastAsia="Google Sans Text" w:hAnsi="Google Sans Text"/>
          <w:i w:val="0"/>
          <w:color w:val="1b1c1d"/>
          <w:sz w:val="24"/>
          <w:szCs w:val="24"/>
          <w:rtl w:val="0"/>
        </w:rPr>
        <w:t xml:space="preserve"> The model holds significant potential for automating processes and optimizing workflows, leading to reduced manual effort and faster execution of tasks.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Decision-Making:</w:t>
      </w:r>
      <w:r w:rsidDel="00000000" w:rsidR="00000000" w:rsidRPr="00000000">
        <w:rPr>
          <w:rFonts w:ascii="Google Sans Text" w:cs="Google Sans Text" w:eastAsia="Google Sans Text" w:hAnsi="Google Sans Text"/>
          <w:i w:val="0"/>
          <w:color w:val="1b1c1d"/>
          <w:sz w:val="24"/>
          <w:szCs w:val="24"/>
          <w:rtl w:val="0"/>
        </w:rPr>
        <w:t xml:space="preserve"> By providing data-driven insights, the SFE model can empower stakeholders with more accurate and timely information, facilitating superior strategic choices.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A well-designed SFE system can allow the organization to expand operations and accommodate increased demand without requiring proportional increases in resources, thus supporting growth.</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Advantage:</w:t>
      </w:r>
      <w:r w:rsidDel="00000000" w:rsidR="00000000" w:rsidRPr="00000000">
        <w:rPr>
          <w:rFonts w:ascii="Google Sans Text" w:cs="Google Sans Text" w:eastAsia="Google Sans Text" w:hAnsi="Google Sans Text"/>
          <w:i w:val="0"/>
          <w:color w:val="1b1c1d"/>
          <w:sz w:val="24"/>
          <w:szCs w:val="24"/>
          <w:rtl w:val="0"/>
        </w:rPr>
        <w:t xml:space="preserve"> Leveraging advanced systems and optimized processes can differentiate the organization in the market, providing a distinct edge over competitors.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Implementation Costs:</w:t>
      </w:r>
      <w:r w:rsidDel="00000000" w:rsidR="00000000" w:rsidRPr="00000000">
        <w:rPr>
          <w:rFonts w:ascii="Google Sans Text" w:cs="Google Sans Text" w:eastAsia="Google Sans Text" w:hAnsi="Google Sans Text"/>
          <w:i w:val="0"/>
          <w:color w:val="1b1c1d"/>
          <w:sz w:val="24"/>
          <w:szCs w:val="24"/>
          <w:rtl w:val="0"/>
        </w:rPr>
        <w:t xml:space="preserve"> Significant upfront investment is typically required for technology acquisition, customization, training, and managing the organizational change associated with such a system.</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and Integration Challenges:</w:t>
      </w:r>
      <w:r w:rsidDel="00000000" w:rsidR="00000000" w:rsidRPr="00000000">
        <w:rPr>
          <w:rFonts w:ascii="Google Sans Text" w:cs="Google Sans Text" w:eastAsia="Google Sans Text" w:hAnsi="Google Sans Text"/>
          <w:i w:val="0"/>
          <w:color w:val="1b1c1d"/>
          <w:sz w:val="24"/>
          <w:szCs w:val="24"/>
          <w:rtl w:val="0"/>
        </w:rPr>
        <w:t xml:space="preserve"> Integrating a new SFE model with existing legacy systems and established operational processes can be inherently complex and fraught with technical difficulties.</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 to Change:</w:t>
      </w:r>
      <w:r w:rsidDel="00000000" w:rsidR="00000000" w:rsidRPr="00000000">
        <w:rPr>
          <w:rFonts w:ascii="Google Sans Text" w:cs="Google Sans Text" w:eastAsia="Google Sans Text" w:hAnsi="Google Sans Text"/>
          <w:i w:val="0"/>
          <w:color w:val="1b1c1d"/>
          <w:sz w:val="24"/>
          <w:szCs w:val="24"/>
          <w:rtl w:val="0"/>
        </w:rPr>
        <w:t xml:space="preserve"> Employees and other stakeholders may exhibit pushback or difficulty in adapting to new methodologies and workflows introduced by the SFE model, potentially hindering adoption.</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on Technology:</w:t>
      </w:r>
      <w:r w:rsidDel="00000000" w:rsidR="00000000" w:rsidRPr="00000000">
        <w:rPr>
          <w:rFonts w:ascii="Google Sans Text" w:cs="Google Sans Text" w:eastAsia="Google Sans Text" w:hAnsi="Google Sans Text"/>
          <w:i w:val="0"/>
          <w:color w:val="1b1c1d"/>
          <w:sz w:val="24"/>
          <w:szCs w:val="24"/>
          <w:rtl w:val="0"/>
        </w:rPr>
        <w:t xml:space="preserve"> The organization becomes vulnerable to system failures, cybersecurity threats, or potential vendor lock-in, which could disrupt operations if not adequately managed.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concise overview of these trade-offs, the following table summarizes the key pros and cons of "The NeVo Tower" SFE Model: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Streamlined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Reduction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Upfront Investment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Data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Lock-in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Productivity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Requirements, Resistance to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System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 Vulnerabilities</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overview of the model's strengths and weaknesses is crucial for senior executives, enabling a rapid understanding of the core trade-offs involved in its adoption. It serves as a foundational element for a comprehensive cost-benefit analysis and aids in identifying specific areas requiring strategic attention or mitigation efforts. By categorizing the advantages and disadvantages, the table ensures a holistic view that extends beyond purely financial aspects, encompassing operational, strategic, and human elements.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Highlighted Changes and Their Strategic Implications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explicit mention of "HIGHLIGHTED CHANGES" within "The NeVo Tower" SFE Model suggests a departure from a previous iteration or a standard industry approach. Without specific details, the implications of such changes are assessed based on their likely intent: addressing past inefficiencies, incorporating new technologies, responding to market shifts, or aligning the model more closely with broader corporate objectives.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changes introduce new dimensions of risk, encompassing technical vulnerabilities, operational disruptions, and financial implications, all of which necessitate careful assessment. Concurrently, new features or approaches embedded within these changes could unlock unforeseen opportunities for growth, market expansion, or significant efficiency gains. Implementing these changes will likely necessitate a reallocation of resources, including shifts in budget, personnel, and training programs to support the new functionalities. Furthermore, the impact on various stakeholders, including internal teams, external partners, and customers, must be thoroughly evaluated to ensure a smooth transition and continued engagement. A critical consideration is whether these "HIGHLIGHTED CHANGES" are designed to facilitate or, conversely, hinder the seamless integration with the "Partners Not Paychecks" model, as their alignment is crucial for overall project success.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Legal and Regulatory Assessment of "Partners Not Paychecks"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delves into the most critical aspect of the "Partners Not Paychecks" model: its potential classification as a "security" under federal and state securities laws. Such a classification would trigger substantial regulatory obligations and risks.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Application of the Howey Test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Howey Test is the seminal legal standard established by the U.S. Supreme Court to determine whether a transaction constitutes an "investment contract" and, consequently, a "security" under federal securities laws. If "Partners Not Paychecks" is deemed an investment contract, it would be subject to stringent regulatory oversight, including registration requirements and ongoing disclosure obligations.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 the Howey Test, a transaction is an investment contract if: "It is an investment of money. There is an expectation of profits from the investment. The investment of money is in a common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not explicitly listed as a separate criterion in the provided snippets, judicial interpretation of the "common enterprise" prong universally includes the requirement that profits are derived predominantly from the managerial or entrepreneurial efforts of others.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applies each criterion of the Howey Test to the "Partners Not Paychecks" model, providing a preliminary assessment of its potential legal classification.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Howey Test 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to 'Partners Not Paychecks'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Preliminary Assessment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Investment of Money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 is an investment of money."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nature of contributions in "Partners Not Paychecks" is critical. If participants contribute capital, intellectual property, or significant, quantifiable labor that forms the basis of their "partnership" stake, this criterion is likely met. Courts interpret "money" broadly to include assets, property, or substantial "sweat equity" if it represents a quantifiable contribution to the enterprise. The model's inherent suggestion of a contribution beyond mere wages means that participants are likely investing something into the common enterprise. This "something" could be direct cash, valuable assets, or even the deferral of traditional compensation in exchange for a future stake. The broader judicial interpretation of "money" means that even non-cash contributions can qualify, expanding the scope of what constitutes an "investment." Therefore, the </w:t>
            </w:r>
            <w:r w:rsidDel="00000000" w:rsidR="00000000" w:rsidRPr="00000000">
              <w:rPr>
                <w:rFonts w:ascii="Google Sans Text" w:cs="Google Sans Text" w:eastAsia="Google Sans Text" w:hAnsi="Google Sans Text"/>
                <w:i w:val="1"/>
                <w:color w:val="1b1c1d"/>
                <w:sz w:val="20"/>
                <w:szCs w:val="20"/>
                <w:shd w:fill="auto" w:val="clear"/>
                <w:rtl w:val="0"/>
              </w:rPr>
              <w:t xml:space="preserve">form</w:t>
            </w:r>
            <w:r w:rsidDel="00000000" w:rsidR="00000000" w:rsidRPr="00000000">
              <w:rPr>
                <w:rFonts w:ascii="Google Sans Text" w:cs="Google Sans Text" w:eastAsia="Google Sans Text" w:hAnsi="Google Sans Text"/>
                <w:i w:val="0"/>
                <w:color w:val="1b1c1d"/>
                <w:sz w:val="20"/>
                <w:szCs w:val="20"/>
                <w:shd w:fill="auto" w:val="clear"/>
                <w:rtl w:val="0"/>
              </w:rPr>
              <w:t xml:space="preserve"> of contribution, not just cash, requires careful scrutiny.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Likely 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Expectation of Profits from the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"There is an expectation of profits from the investment."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very name "Partners Not Paychecks" implies that participants forgo a fixed "paycheck" in favor of a share in the venture's profits or appreciation. This strongly suggests an expectation of profits. If the model explicitly moves away from fixed compensation towards a "partnership" model, the primary incentive for participants is almost certainly a share in the financial success of the enterprise. This direct link between participation and potential financial gain, rather than a guaranteed wage, directly fulfills the "expectation of profits" criterion. The risk-reward profile is shifted from employer-employee to investor-enterprise.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Strongly Likely 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Investment of Money is in a Common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investment of money is in a common enterprise."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"Partners Not Paychecks" model, by its nature, implies a shared venture where participants' success is dependent on the collective performance of the enterprise. This strongly suggests the presence of a common enterprise. The concept of "partners" implies a shared goal and a collective endeavor. If multiple individuals are contributing to a single project or business, and their anticipated "profits" are derived from the overall success of that shared venture, then a "common enterprise" is clearly established. The pooling of resources (money, effort, IP) for a shared outcome is a hallmark of a common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Likely Met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Profits Derived from the Efforts of Others (Implicit)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Profits derived predominantly from the managerial or entrepreneurial efforts of others (i.e., the promoters or central management), rather than the investor's own efforts.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the most nuanced and often decisive criterion. The degree of active participation and control by the "partners" will determine if their profits are primarily from their own efforts or from the efforts of a central management team. If participants are truly active and have significant managerial control, it may avoid security classification. If they are passive contributors relying on others, it is more likely to be a security. The term "Partners Not Paychecks" could imply either active co-management or passive investment with a profit share. If the "partners" are merely contributing resources and passively awaiting returns based on the efforts of a core management team (e.g., the company's founders or executives), then this criterion would be met, and it would likely be a security. However, if the "partners" are genuinely involved in significant operational or strategic decision-making, and their individual efforts directly contribute to their own share of profits, then it might fall outside the definition. This distinction is paramount for legal classification, and the ambiguity in the model's name necessitates a deep dive into operational specifics.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Potentially Met / Critical Differentiator</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point-by-point legal analysis, directly applying the statutory criteria as provided, allows for a clear, systematic assessment of legal risk. It highlights specific areas where the model's structure needs to be carefully scrutinized to avoid securities classification. This approach transforms abstract legal principles into actionable analytical points, providing clarity for decision-makers.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Potential Securities Classification and Associated Risks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the "Partners Not Paychecks" model is deemed an investment contract and thus a security, it would become subject to the comprehensive regulatory frameworks of federal and state securities laws. This classification carries significant and potentially severe consequences.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primary risks is the </w:t>
      </w:r>
      <w:r w:rsidDel="00000000" w:rsidR="00000000" w:rsidRPr="00000000">
        <w:rPr>
          <w:rFonts w:ascii="Google Sans Text" w:cs="Google Sans Text" w:eastAsia="Google Sans Text" w:hAnsi="Google Sans Text"/>
          <w:b w:val="1"/>
          <w:i w:val="0"/>
          <w:color w:val="1b1c1d"/>
          <w:sz w:val="24"/>
          <w:szCs w:val="24"/>
          <w:rtl w:val="0"/>
        </w:rPr>
        <w:t xml:space="preserve">registration requirement</w:t>
      </w:r>
      <w:r w:rsidDel="00000000" w:rsidR="00000000" w:rsidRPr="00000000">
        <w:rPr>
          <w:rFonts w:ascii="Google Sans Text" w:cs="Google Sans Text" w:eastAsia="Google Sans Text" w:hAnsi="Google Sans Text"/>
          <w:i w:val="0"/>
          <w:color w:val="1b1c1d"/>
          <w:sz w:val="24"/>
          <w:szCs w:val="24"/>
          <w:rtl w:val="0"/>
        </w:rPr>
        <w:t xml:space="preserve">. Unless a specific exemption applies, the offering of "Partners Not Paychecks" interests would necessitate registration with the U.S. Securities and Exchange Commission (SEC), typically through the filing of a Form S-1. This process is notoriously costly, time-consuming, and highly public, potentially exposing sensitive business information. Beyond federal requirements, compliance with </w:t>
      </w:r>
      <w:r w:rsidDel="00000000" w:rsidR="00000000" w:rsidRPr="00000000">
        <w:rPr>
          <w:rFonts w:ascii="Google Sans Text" w:cs="Google Sans Text" w:eastAsia="Google Sans Text" w:hAnsi="Google Sans Text"/>
          <w:b w:val="1"/>
          <w:i w:val="0"/>
          <w:color w:val="1b1c1d"/>
          <w:sz w:val="24"/>
          <w:szCs w:val="24"/>
          <w:rtl w:val="0"/>
        </w:rPr>
        <w:t xml:space="preserve">state "blue sky" laws</w:t>
      </w:r>
      <w:r w:rsidDel="00000000" w:rsidR="00000000" w:rsidRPr="00000000">
        <w:rPr>
          <w:rFonts w:ascii="Google Sans Text" w:cs="Google Sans Text" w:eastAsia="Google Sans Text" w:hAnsi="Google Sans Text"/>
          <w:i w:val="0"/>
          <w:color w:val="1b1c1d"/>
          <w:sz w:val="24"/>
          <w:szCs w:val="24"/>
          <w:rtl w:val="0"/>
        </w:rPr>
        <w:t xml:space="preserve"> in every state where participants reside or are solicited would also be mandatory, adding layers of complexity.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classification as a security triggers </w:t>
      </w:r>
      <w:r w:rsidDel="00000000" w:rsidR="00000000" w:rsidRPr="00000000">
        <w:rPr>
          <w:rFonts w:ascii="Google Sans Text" w:cs="Google Sans Text" w:eastAsia="Google Sans Text" w:hAnsi="Google Sans Text"/>
          <w:b w:val="1"/>
          <w:i w:val="0"/>
          <w:color w:val="1b1c1d"/>
          <w:sz w:val="24"/>
          <w:szCs w:val="24"/>
          <w:rtl w:val="0"/>
        </w:rPr>
        <w:t xml:space="preserve">ongoing disclosure obligations</w:t>
      </w:r>
      <w:r w:rsidDel="00000000" w:rsidR="00000000" w:rsidRPr="00000000">
        <w:rPr>
          <w:rFonts w:ascii="Google Sans Text" w:cs="Google Sans Text" w:eastAsia="Google Sans Text" w:hAnsi="Google Sans Text"/>
          <w:i w:val="0"/>
          <w:color w:val="1b1c1d"/>
          <w:sz w:val="24"/>
          <w:szCs w:val="24"/>
          <w:rtl w:val="0"/>
        </w:rPr>
        <w:t xml:space="preserve">, requiring the enterprise to provide regular and stringent financial and operational information to participants, similar to publicly traded companies. The model would also be subject to broad </w:t>
      </w:r>
      <w:r w:rsidDel="00000000" w:rsidR="00000000" w:rsidRPr="00000000">
        <w:rPr>
          <w:rFonts w:ascii="Google Sans Text" w:cs="Google Sans Text" w:eastAsia="Google Sans Text" w:hAnsi="Google Sans Text"/>
          <w:b w:val="1"/>
          <w:i w:val="0"/>
          <w:color w:val="1b1c1d"/>
          <w:sz w:val="24"/>
          <w:szCs w:val="24"/>
          <w:rtl w:val="0"/>
        </w:rPr>
        <w:t xml:space="preserve">anti-fraud provisions</w:t>
      </w:r>
      <w:r w:rsidDel="00000000" w:rsidR="00000000" w:rsidRPr="00000000">
        <w:rPr>
          <w:rFonts w:ascii="Google Sans Text" w:cs="Google Sans Text" w:eastAsia="Google Sans Text" w:hAnsi="Google Sans Text"/>
          <w:i w:val="0"/>
          <w:color w:val="1b1c1d"/>
          <w:sz w:val="24"/>
          <w:szCs w:val="24"/>
          <w:rtl w:val="0"/>
        </w:rPr>
        <w:t xml:space="preserve">, such as Rule 10b-5, which impose significant liability for any material misstatements or omissions made in connection with the offering or sale of the interests. In cases of non-compliance, participants may have </w:t>
      </w:r>
      <w:r w:rsidDel="00000000" w:rsidR="00000000" w:rsidRPr="00000000">
        <w:rPr>
          <w:rFonts w:ascii="Google Sans Text" w:cs="Google Sans Text" w:eastAsia="Google Sans Text" w:hAnsi="Google Sans Text"/>
          <w:b w:val="1"/>
          <w:i w:val="0"/>
          <w:color w:val="1b1c1d"/>
          <w:sz w:val="24"/>
          <w:szCs w:val="24"/>
          <w:rtl w:val="0"/>
        </w:rPr>
        <w:t xml:space="preserve">rescission rights</w:t>
      </w:r>
      <w:r w:rsidDel="00000000" w:rsidR="00000000" w:rsidRPr="00000000">
        <w:rPr>
          <w:rFonts w:ascii="Google Sans Text" w:cs="Google Sans Text" w:eastAsia="Google Sans Text" w:hAnsi="Google Sans Text"/>
          <w:i w:val="0"/>
          <w:color w:val="1b1c1d"/>
          <w:sz w:val="24"/>
          <w:szCs w:val="24"/>
          <w:rtl w:val="0"/>
        </w:rPr>
        <w:t xml:space="preserve">, allowing them to demand their money back plus interest if the offering was unregistered or violated securities laws. The consequences of non-compliance extend to </w:t>
      </w:r>
      <w:r w:rsidDel="00000000" w:rsidR="00000000" w:rsidRPr="00000000">
        <w:rPr>
          <w:rFonts w:ascii="Google Sans Text" w:cs="Google Sans Text" w:eastAsia="Google Sans Text" w:hAnsi="Google Sans Text"/>
          <w:b w:val="1"/>
          <w:i w:val="0"/>
          <w:color w:val="1b1c1d"/>
          <w:sz w:val="24"/>
          <w:szCs w:val="24"/>
          <w:rtl w:val="0"/>
        </w:rPr>
        <w:t xml:space="preserve">civil penalties and potential criminal charges</w:t>
      </w:r>
      <w:r w:rsidDel="00000000" w:rsidR="00000000" w:rsidRPr="00000000">
        <w:rPr>
          <w:rFonts w:ascii="Google Sans Text" w:cs="Google Sans Text" w:eastAsia="Google Sans Text" w:hAnsi="Google Sans Text"/>
          <w:i w:val="0"/>
          <w:color w:val="1b1c1d"/>
          <w:sz w:val="24"/>
          <w:szCs w:val="24"/>
          <w:rtl w:val="0"/>
        </w:rPr>
        <w:t xml:space="preserve">, including substantial fines, injunctions, and even criminal prosecution for severe violations. Beyond the legal ramifications, there is a significant risk of </w:t>
      </w:r>
      <w:r w:rsidDel="00000000" w:rsidR="00000000" w:rsidRPr="00000000">
        <w:rPr>
          <w:rFonts w:ascii="Google Sans Text" w:cs="Google Sans Text" w:eastAsia="Google Sans Text" w:hAnsi="Google Sans Text"/>
          <w:b w:val="1"/>
          <w:i w:val="0"/>
          <w:color w:val="1b1c1d"/>
          <w:sz w:val="24"/>
          <w:szCs w:val="24"/>
          <w:rtl w:val="0"/>
        </w:rPr>
        <w:t xml:space="preserve">reputational damage</w:t>
      </w:r>
      <w:r w:rsidDel="00000000" w:rsidR="00000000" w:rsidRPr="00000000">
        <w:rPr>
          <w:rFonts w:ascii="Google Sans Text" w:cs="Google Sans Text" w:eastAsia="Google Sans Text" w:hAnsi="Google Sans Text"/>
          <w:i w:val="0"/>
          <w:color w:val="1b1c1d"/>
          <w:sz w:val="24"/>
          <w:szCs w:val="24"/>
          <w:rtl w:val="0"/>
        </w:rPr>
        <w:t xml:space="preserve">, which can erode trust among potential partners and the broader market. Finally, if classified as a security, the model might face a </w:t>
      </w:r>
      <w:r w:rsidDel="00000000" w:rsidR="00000000" w:rsidRPr="00000000">
        <w:rPr>
          <w:rFonts w:ascii="Google Sans Text" w:cs="Google Sans Text" w:eastAsia="Google Sans Text" w:hAnsi="Google Sans Text"/>
          <w:b w:val="1"/>
          <w:i w:val="0"/>
          <w:color w:val="1b1c1d"/>
          <w:sz w:val="24"/>
          <w:szCs w:val="24"/>
          <w:rtl w:val="0"/>
        </w:rPr>
        <w:t xml:space="preserve">limited investor pool</w:t>
      </w:r>
      <w:r w:rsidDel="00000000" w:rsidR="00000000" w:rsidRPr="00000000">
        <w:rPr>
          <w:rFonts w:ascii="Google Sans Text" w:cs="Google Sans Text" w:eastAsia="Google Sans Text" w:hAnsi="Google Sans Text"/>
          <w:i w:val="0"/>
          <w:color w:val="1b1c1d"/>
          <w:sz w:val="24"/>
          <w:szCs w:val="24"/>
          <w:rtl w:val="0"/>
        </w:rPr>
        <w:t xml:space="preserve">, as certain registration exemptions (e.g., under Regulation D) restrict participation to accredited investors, potentially narrowing the talent base that can engage with the "Partners Not Paychecks" initiative.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Compliance Considerations and Mitigation Strategies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legal classification of "Partners Not Paychecks" is not merely a compliance hurdle; it is a fundamental determinant of its operational feasibility and strategic viability. Failure to address this proactively could lead to the complete collapse of the model and severe legal repercussions. The legal framework dictates precisely how the model can be structured, marketed, and executed. If it is classified as a security, the costs, timelines, and target audience for "Partners Not Paychecks" would change dramatically. This underscores that the legal assessment is not a post-design review but a critical input to the design process itself. Proactive legal structuring can avoid significant pitfalls, whereas reactive measures after a security classification can be immensely costly and disruptive, potentially rendering the entire concept unviable.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mitigate these risks, several strategies can be considered: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Strategies to Avoid Security Classification:</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Emphasize Active Participation:</w:t>
      </w:r>
      <w:r w:rsidDel="00000000" w:rsidR="00000000" w:rsidRPr="00000000">
        <w:rPr>
          <w:rFonts w:ascii="Google Sans Text" w:cs="Google Sans Text" w:eastAsia="Google Sans Text" w:hAnsi="Google Sans Text"/>
          <w:i w:val="0"/>
          <w:color w:val="1b1c1d"/>
          <w:sz w:val="24"/>
          <w:szCs w:val="24"/>
          <w:rtl w:val="0"/>
        </w:rPr>
        <w:t xml:space="preserve"> Structure the model such that participants are genuinely active in the management and operations of the enterprise, and their returns are directly tied to their own efforts, rather than solely the efforts of others. This shifts the focus from passive investment to active contribution.</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 Compensation to Individual Effort:</w:t>
      </w:r>
      <w:r w:rsidDel="00000000" w:rsidR="00000000" w:rsidRPr="00000000">
        <w:rPr>
          <w:rFonts w:ascii="Google Sans Text" w:cs="Google Sans Text" w:eastAsia="Google Sans Text" w:hAnsi="Google Sans Text"/>
          <w:i w:val="0"/>
          <w:color w:val="1b1c1d"/>
          <w:sz w:val="24"/>
          <w:szCs w:val="24"/>
          <w:rtl w:val="0"/>
        </w:rPr>
        <w:t xml:space="preserve"> Ensure that any "profit" distribution is primarily a reward for individual labor, intellectual contribution, or specific performance metrics, rather than a return on a passive financial investment.</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True Partnership Structure:</w:t>
      </w:r>
      <w:r w:rsidDel="00000000" w:rsidR="00000000" w:rsidRPr="00000000">
        <w:rPr>
          <w:rFonts w:ascii="Google Sans Text" w:cs="Google Sans Text" w:eastAsia="Google Sans Text" w:hAnsi="Google Sans Text"/>
          <w:i w:val="0"/>
          <w:color w:val="1b1c1d"/>
          <w:sz w:val="24"/>
          <w:szCs w:val="24"/>
          <w:rtl w:val="0"/>
        </w:rPr>
        <w:t xml:space="preserve"> Implement a formal legal partnership where all partners genuinely share control, management responsibilities, and liabilities, aligning the model with traditional partnership law rather than investment contracts.</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Expectation of Passive Profit:</w:t>
      </w:r>
      <w:r w:rsidDel="00000000" w:rsidR="00000000" w:rsidRPr="00000000">
        <w:rPr>
          <w:rFonts w:ascii="Google Sans Text" w:cs="Google Sans Text" w:eastAsia="Google Sans Text" w:hAnsi="Google Sans Text"/>
          <w:i w:val="0"/>
          <w:color w:val="1b1c1d"/>
          <w:sz w:val="24"/>
          <w:szCs w:val="24"/>
          <w:rtl w:val="0"/>
        </w:rPr>
        <w:t xml:space="preserve"> Clearly communicate that the model is not a passive investment opportunity but a collaborative work arrangement where success is contingent upon active engagement and contribution.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Strategies if Security Classification is Unavoidable:</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Reliance on Exemptions:</w:t>
      </w:r>
      <w:r w:rsidDel="00000000" w:rsidR="00000000" w:rsidRPr="00000000">
        <w:rPr>
          <w:rFonts w:ascii="Google Sans Text" w:cs="Google Sans Text" w:eastAsia="Google Sans Text" w:hAnsi="Google Sans Text"/>
          <w:i w:val="0"/>
          <w:color w:val="1b1c1d"/>
          <w:sz w:val="24"/>
          <w:szCs w:val="24"/>
          <w:rtl w:val="0"/>
        </w:rPr>
        <w:t xml:space="preserve"> Explore available registration exemptions under federal securities laws (e.g., Regulation D for private placements, Regulation A for smaller public offerings, or intrastate offerings). Each exemption has strict conditions and limitations regarding the number and type of investors, offering size, and disclosure requirements.</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Disclosure:</w:t>
      </w:r>
      <w:r w:rsidDel="00000000" w:rsidR="00000000" w:rsidRPr="00000000">
        <w:rPr>
          <w:rFonts w:ascii="Google Sans Text" w:cs="Google Sans Text" w:eastAsia="Google Sans Text" w:hAnsi="Google Sans Text"/>
          <w:i w:val="0"/>
          <w:color w:val="1b1c1d"/>
          <w:sz w:val="24"/>
          <w:szCs w:val="24"/>
          <w:rtl w:val="0"/>
        </w:rPr>
        <w:t xml:space="preserve"> If an exemption is utilized or registration is pursued, prepare comprehensive offering documents, such as private placement memoranda, that fully disclose all material risks and information to potential participants. Transparency is paramount.</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Counsel Engagement:</w:t>
      </w:r>
      <w:r w:rsidDel="00000000" w:rsidR="00000000" w:rsidRPr="00000000">
        <w:rPr>
          <w:rFonts w:ascii="Google Sans Text" w:cs="Google Sans Text" w:eastAsia="Google Sans Text" w:hAnsi="Google Sans Text"/>
          <w:i w:val="0"/>
          <w:color w:val="1b1c1d"/>
          <w:sz w:val="24"/>
          <w:szCs w:val="24"/>
          <w:rtl w:val="0"/>
        </w:rPr>
        <w:t xml:space="preserve"> It is critical to engage experienced securities counsel from the earliest stages of the model's design and implementation. Navigating complex regulations requires specialized expertise to ensure compliance and mitigate potential liabilities.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Comprehensive Integration Strategy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realization of both "The NeVo Tower" SFE Model and the "Partners Not Paychecks" initiative hinges on a comprehensive integration strategy that identifies synergies, anticipates conflicts, and outlines a seamless implementation approach.</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Synergies and Potential Conflicts Between Models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two models, while distinct in their primary focus, offer significant potential for synergy. "Partners Not Paychecks" could provide the highly motivated and aligned human capital necessary to fully leverage the advanced capabilities of "The NeVo Tower" SFE Model. A partnership-driven model can foster greater creativity and problem-solving, leading to better utilization and evolution of the SFE system. Furthermore, if the SFE model successfully drives efficiencies or revenue growth, the "Partners Not Paychecks" model directly rewards participants, creating positive feedback loops that reinforce performance and commitment.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potential conflicts must also be acknowledged. The legal complexities inherent in "Partners Not Paychecks," especially if it is classified as a security, could introduce delays or jeopardize the rollout of "The NeVo Tower" if not managed concurrently and proactively. Operational misalignment could arise if the SFE model requires rigid, standardized processes while "Partners Not Paychecks" promotes agile, decentralized decision-making. Both models may also require significant financial, technical, and human resources, potentially leading to competition for limited organizational capacity. Lastly, a traditional, hierarchical organizational culture attempting to implement a "partnership" model alongside a new technological system could face considerable cultural resistance, impacting adoption and overall success.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Operational and Legal Integration Challenges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these two transformative initiatives presents both operational and legal challenges.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an </w:t>
      </w:r>
      <w:r w:rsidDel="00000000" w:rsidR="00000000" w:rsidRPr="00000000">
        <w:rPr>
          <w:rFonts w:ascii="Google Sans Text" w:cs="Google Sans Text" w:eastAsia="Google Sans Text" w:hAnsi="Google Sans Text"/>
          <w:b w:val="1"/>
          <w:i w:val="0"/>
          <w:color w:val="1b1c1d"/>
          <w:sz w:val="24"/>
          <w:szCs w:val="24"/>
          <w:rtl w:val="0"/>
        </w:rPr>
        <w:t xml:space="preserve">operational perspective</w:t>
      </w:r>
      <w:r w:rsidDel="00000000" w:rsidR="00000000" w:rsidRPr="00000000">
        <w:rPr>
          <w:rFonts w:ascii="Google Sans Text" w:cs="Google Sans Text" w:eastAsia="Google Sans Text" w:hAnsi="Google Sans Text"/>
          <w:i w:val="0"/>
          <w:color w:val="1b1c1d"/>
          <w:sz w:val="24"/>
          <w:szCs w:val="24"/>
          <w:rtl w:val="0"/>
        </w:rPr>
        <w:t xml:space="preserve">, ensuring system interoperability is paramount. "The NeVo Tower" SFE system must be capable of effectively tracking and attributing performance metrics that are relevant to the compensation structures defined within the "Partners Not Paychecks" model. This requires robust data integration and reporting capabilities. Managing the transition for employees or partners to new operational processes dictated by the SFE model, alongside new compensation structures under "Partners Not Paychecks," represents a significant change management undertaking. Comprehensive training and adoption programs are essential to ensure all participants are adequately equipped to utilize both the SFE system and understand the intricacies of the "Partners Not Paychecks" model.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 </w:t>
      </w:r>
      <w:r w:rsidDel="00000000" w:rsidR="00000000" w:rsidRPr="00000000">
        <w:rPr>
          <w:rFonts w:ascii="Google Sans Text" w:cs="Google Sans Text" w:eastAsia="Google Sans Text" w:hAnsi="Google Sans Text"/>
          <w:b w:val="1"/>
          <w:i w:val="0"/>
          <w:color w:val="1b1c1d"/>
          <w:sz w:val="24"/>
          <w:szCs w:val="24"/>
          <w:rtl w:val="0"/>
        </w:rPr>
        <w:t xml:space="preserve">legal perspective</w:t>
      </w:r>
      <w:r w:rsidDel="00000000" w:rsidR="00000000" w:rsidRPr="00000000">
        <w:rPr>
          <w:rFonts w:ascii="Google Sans Text" w:cs="Google Sans Text" w:eastAsia="Google Sans Text" w:hAnsi="Google Sans Text"/>
          <w:i w:val="0"/>
          <w:color w:val="1b1c1d"/>
          <w:sz w:val="24"/>
          <w:szCs w:val="24"/>
          <w:rtl w:val="0"/>
        </w:rPr>
        <w:t xml:space="preserve">, maintaining consistent compliance across both models is a critical challenge, particularly if "Partners Not Paychecks" is deemed a security. This necessitates careful adherence to securities laws while also ensuring the SFE model's operations comply with relevant regulations. Developing robust contractual frameworks is essential; these agreements must clearly define roles, responsibilities, contributions, and profit/loss sharing under the "Partners Not Paychecks" model, while seamlessly integrating with the operational requirements and data flows of the SFE system. Furthermore, ensuring that data collected by "The NeVo Tower" SFE Model, especially performance metrics used for "Partners Not Paychecks" compensation, complies with data privacy and security regulations (e.g., GDPR, CCPA) is a non-negotiable requirement.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Recommendations for Seamless Implementation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achieve a seamless and successful integration of "The NeVo Tower" SFE Model and "Partners Not Paychecks," a strategic and structured approach is recommended:</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Phased Rollout:</w:t>
      </w:r>
      <w:r w:rsidDel="00000000" w:rsidR="00000000" w:rsidRPr="00000000">
        <w:rPr>
          <w:rFonts w:ascii="Google Sans Text" w:cs="Google Sans Text" w:eastAsia="Google Sans Text" w:hAnsi="Google Sans Text"/>
          <w:i w:val="0"/>
          <w:color w:val="1b1c1d"/>
          <w:sz w:val="24"/>
          <w:szCs w:val="24"/>
          <w:rtl w:val="0"/>
        </w:rPr>
        <w:t xml:space="preserve"> Implement both models in carefully planned stages. This allows for iterative testing, gathering feedback from early adopters, and making necessary adjustments before full-scale deployment, minimizing disruption and risk.</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Legal and Business Review:</w:t>
      </w:r>
      <w:r w:rsidDel="00000000" w:rsidR="00000000" w:rsidRPr="00000000">
        <w:rPr>
          <w:rFonts w:ascii="Google Sans Text" w:cs="Google Sans Text" w:eastAsia="Google Sans Text" w:hAnsi="Google Sans Text"/>
          <w:i w:val="0"/>
          <w:color w:val="1b1c1d"/>
          <w:sz w:val="24"/>
          <w:szCs w:val="24"/>
          <w:rtl w:val="0"/>
        </w:rPr>
        <w:t xml:space="preserve"> Conduct joint workshops involving legal, HR, and business teams from the earliest design phases. This ensures that the structure of "Partners Not Paychecks" is legally sound and inherently compatible with the operational requirements and data capabilities of "The NeVo Tower" SFE Model.</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Communication Strategy:</w:t>
      </w:r>
      <w:r w:rsidDel="00000000" w:rsidR="00000000" w:rsidRPr="00000000">
        <w:rPr>
          <w:rFonts w:ascii="Google Sans Text" w:cs="Google Sans Text" w:eastAsia="Google Sans Text" w:hAnsi="Google Sans Text"/>
          <w:i w:val="0"/>
          <w:color w:val="1b1c1d"/>
          <w:sz w:val="24"/>
          <w:szCs w:val="24"/>
          <w:rtl w:val="0"/>
        </w:rPr>
        <w:t xml:space="preserve"> Develop and execute a comprehensive communication plan. This plan should clearly explain the rationale, anticipated benefits, and detailed mechanics of both models to all stakeholders, proactively addressing potential concerns and fostering understanding and buy-in.</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Governance Framework:</w:t>
      </w:r>
      <w:r w:rsidDel="00000000" w:rsidR="00000000" w:rsidRPr="00000000">
        <w:rPr>
          <w:rFonts w:ascii="Google Sans Text" w:cs="Google Sans Text" w:eastAsia="Google Sans Text" w:hAnsi="Google Sans Text"/>
          <w:i w:val="0"/>
          <w:color w:val="1b1c1d"/>
          <w:sz w:val="24"/>
          <w:szCs w:val="24"/>
          <w:rtl w:val="0"/>
        </w:rPr>
        <w:t xml:space="preserve"> Establish clear governance structures for both models, including transparent decision-making processes, effective dispute resolution mechanisms, and continuous performance monitoring protocols. This provides clarity and stability.</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Integration Task Force:</w:t>
      </w:r>
      <w:r w:rsidDel="00000000" w:rsidR="00000000" w:rsidRPr="00000000">
        <w:rPr>
          <w:rFonts w:ascii="Google Sans Text" w:cs="Google Sans Text" w:eastAsia="Google Sans Text" w:hAnsi="Google Sans Text"/>
          <w:i w:val="0"/>
          <w:color w:val="1b1c1d"/>
          <w:sz w:val="24"/>
          <w:szCs w:val="24"/>
          <w:rtl w:val="0"/>
        </w:rPr>
        <w:t xml:space="preserve"> Form a cross-functional team comprising legal, human resources, information technology, and operations experts. This task force would be responsible for overseeing the entire integration process, identifying potential roadblocks, and ensuring alignment between the two initiatives.</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Pilot Programs:</w:t>
      </w:r>
      <w:r w:rsidDel="00000000" w:rsidR="00000000" w:rsidRPr="00000000">
        <w:rPr>
          <w:rFonts w:ascii="Google Sans Text" w:cs="Google Sans Text" w:eastAsia="Google Sans Text" w:hAnsi="Google Sans Text"/>
          <w:i w:val="0"/>
          <w:color w:val="1b1c1d"/>
          <w:sz w:val="24"/>
          <w:szCs w:val="24"/>
          <w:rtl w:val="0"/>
        </w:rPr>
        <w:t xml:space="preserve"> Implement pilot programs for both models in controlled environments. These pilots can provide invaluable real-world data, allow for refinement of processes, and validate assumptions before broader rollout, reducing the risk of large-scale issues.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Conclusion and Strategic Outlook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implementation of "The NeVo Tower" SFE Model and the "Partners Not Paychecks" initiative represents a transformative opportunity for the organization. This report has highlighted the dual nature of this strategic endeavor: the operational enhancements promised by "The NeVo Tower" SFE Model and the innovative human capital approach of "Partners Not Paychecks." The analysis underscores that while the SFE model offers significant potential for efficiency and competitive advantage, its full capabilities can only be realized through a legally sound and effectively integrated "Partners Not Paychecks" model.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paramount importance of a comprehensive legal due diligence for "Partners Not Paychecks" cannot be overstated. The potential classification of this model as a security under the Howey Test carries substantial regulatory risks, including onerous registration requirements, disclosure obligations, and significant legal liabilities. Proactive legal structuring, informed by expert counsel, is not merely a compliance measure but a fundamental determinant of the model's operational feasibility and long-term viability.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Strategic imperatives for moving forward include prioritizing this rigorous legal assessment for "Partners Not Paychecks" to mitigate significant securities law risks. Furthermore, the design and integration of both models must be holistic, carefully considering their operational, financial, and human capital dimensions to ensure seamless synergy rather than conflict. Adopting a proactive, risk-averse approach to implementation, coupled with continuous monitoring and adaptation, will be crucial.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implemented thoughtfully and compliantly, with sustained commitment to legal rigor, strategic alignment, and effective change management, these models have the potential to drive significant competitive advantage and catalyze profound organizational transformation. The successful integration of advanced operational systems with a highly motivated, vested human capital model can unlock unprecedented levels of performance and innovation.</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Howey Test? - FindLaw, accessed July 23, 2025, </w:t>
      </w:r>
      <w:hyperlink r:id="rId6">
        <w:r w:rsidDel="00000000" w:rsidR="00000000" w:rsidRPr="00000000">
          <w:rPr>
            <w:rFonts w:ascii="Google Sans" w:cs="Google Sans" w:eastAsia="Google Sans" w:hAnsi="Google Sans"/>
            <w:color w:val="0000ee"/>
            <w:sz w:val="24"/>
            <w:szCs w:val="24"/>
            <w:u w:val="single"/>
            <w:rtl w:val="0"/>
          </w:rPr>
          <w:t xml:space="preserve">https://www.findlaw.com/consumer/securities-law/what-is-the-howey-test.html</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www.findlaw.com, accessed July 23, 2025, </w:t>
      </w:r>
      <w:hyperlink r:id="rId7">
        <w:r w:rsidDel="00000000" w:rsidR="00000000" w:rsidRPr="00000000">
          <w:rPr>
            <w:rFonts w:ascii="Google Sans" w:cs="Google Sans" w:eastAsia="Google Sans" w:hAnsi="Google Sans"/>
            <w:color w:val="0000ee"/>
            <w:sz w:val="24"/>
            <w:szCs w:val="24"/>
            <w:u w:val="single"/>
            <w:rtl w:val="0"/>
          </w:rPr>
          <w:t xml:space="preserve">https://www.findlaw.com/consumer/securities-law/what-is-the-howey-test.html#:~:text=Under%20the%20Howey%20Test%2C%20a,is%20in%20a%20common%20enterprise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findlaw.com/consumer/securities-law/what-is-the-howey-test.html" TargetMode="External"/><Relationship Id="rId7" Type="http://schemas.openxmlformats.org/officeDocument/2006/relationships/hyperlink" Target="https://www.findlaw.com/consumer/securities-law/what-is-the-howey-test.html#:~:text=Under%20the%20Howey%20Test%2C%20a,is%20in%20a%20common%20enterpri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